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542" w:beforeAutospacing="0" w:after="360" w:afterAutospacing="0"/>
        <w:ind w:left="720" w:right="72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关于落实2020年秋季学期本科生通识类选修课教学任务的通知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各学院（系、部）：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根据《西北农林科技大学本科生学籍管理办法》（校教发〔2017〕286号）有关规定和学校教学计划安排，现就2020秋季学期本科生通识类选修课教学任务落实事宜通知如下：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Style w:val="6"/>
          <w:rFonts w:hint="eastAsia" w:ascii="微软雅黑" w:hAnsi="微软雅黑" w:eastAsia="微软雅黑" w:cs="微软雅黑"/>
          <w:b/>
          <w:sz w:val="21"/>
          <w:szCs w:val="21"/>
          <w:bdr w:val="none" w:color="auto" w:sz="0" w:space="0"/>
          <w:shd w:val="clear" w:fill="FFFFFF"/>
        </w:rPr>
        <w:t>一、申报时间：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2019年9月16日-9月21日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Style w:val="6"/>
          <w:rFonts w:hint="eastAsia" w:ascii="微软雅黑" w:hAnsi="微软雅黑" w:eastAsia="微软雅黑" w:cs="微软雅黑"/>
          <w:b/>
          <w:sz w:val="21"/>
          <w:szCs w:val="21"/>
          <w:bdr w:val="none" w:color="auto" w:sz="0" w:space="0"/>
          <w:shd w:val="clear" w:fill="FFFFFF"/>
        </w:rPr>
        <w:t>二、开课说明：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1.上课时间为2020年秋季学期的周内或星期六，无法调课；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2.每门课程每周2学时；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3.学生选课正选结束后，课程容量15人以下（不包含15人）的教学班不予开课。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Style w:val="6"/>
          <w:rFonts w:hint="eastAsia" w:ascii="微软雅黑" w:hAnsi="微软雅黑" w:eastAsia="微软雅黑" w:cs="微软雅黑"/>
          <w:b/>
          <w:sz w:val="21"/>
          <w:szCs w:val="21"/>
          <w:bdr w:val="none" w:color="auto" w:sz="0" w:space="0"/>
          <w:shd w:val="clear" w:fill="FFFFFF"/>
        </w:rPr>
        <w:t>三、申报要求：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1.外聘教师无教工号者不予开课，新进教师无教师资格证者不得申请开课;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2.每位教师申报开课课程不超过2门。如有合讲，请在备注注明任课教师上课具体周次分配;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3.课程须已纳入2019版通识类选修课课程模块，具体课程清单见附件一；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4.申报教师填写《2020年秋季学期申请承担通识类选修课教学任务登记表》（见附件二）于2020年9月21日，由开课学院（系、部）审核，统一汇总报送教务处教务运行科，电子版发送至lyyimi@qq.com。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运行科联系人：张艳艳 联系电话：87091714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</w:p>
    <w:p>
      <w:pPr>
        <w:pStyle w:val="16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教务处</w:t>
      </w:r>
    </w:p>
    <w:p>
      <w:pPr>
        <w:pStyle w:val="17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2020-09-15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85E93"/>
    <w:rsid w:val="728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zuozhe"/>
    <w:basedOn w:val="1"/>
    <w:uiPriority w:val="0"/>
    <w:pPr>
      <w:spacing w:before="360" w:beforeAutospacing="0"/>
      <w:ind w:left="6000"/>
      <w:jc w:val="left"/>
    </w:pPr>
    <w:rPr>
      <w:rFonts w:ascii="微软雅黑" w:hAnsi="微软雅黑" w:eastAsia="微软雅黑" w:cs="微软雅黑"/>
      <w:kern w:val="0"/>
      <w:sz w:val="19"/>
      <w:szCs w:val="19"/>
      <w:lang w:val="en-US" w:eastAsia="zh-CN" w:bidi="ar"/>
    </w:rPr>
  </w:style>
  <w:style w:type="paragraph" w:customStyle="1" w:styleId="17">
    <w:name w:val="zuozhewujianju"/>
    <w:basedOn w:val="1"/>
    <w:uiPriority w:val="0"/>
    <w:pPr>
      <w:ind w:left="6000"/>
      <w:jc w:val="left"/>
    </w:pPr>
    <w:rPr>
      <w:rFonts w:hint="eastAsia" w:ascii="微软雅黑" w:hAnsi="微软雅黑" w:eastAsia="微软雅黑" w:cs="微软雅黑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2020-09-15T08:38:44Z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